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72B" w:rsidRPr="00C6172B" w:rsidRDefault="00AD6440" w:rsidP="00C6172B">
      <w:pPr>
        <w:pStyle w:val="Titolo2"/>
      </w:pPr>
      <w:r>
        <w:t> </w:t>
      </w:r>
      <w:r w:rsidR="00C6172B" w:rsidRPr="00C6172B">
        <w:t>Programma Linee Guida</w:t>
      </w:r>
    </w:p>
    <w:p w:rsidR="00C6172B" w:rsidRPr="00C6172B" w:rsidRDefault="00C6172B" w:rsidP="00C6172B">
      <w:pPr>
        <w:spacing w:before="100" w:beforeAutospacing="1" w:after="100" w:afterAutospacing="1" w:line="240" w:lineRule="auto"/>
        <w:rPr>
          <w:rFonts w:ascii="Times New Roman" w:eastAsia="Times New Roman" w:hAnsi="Times New Roman" w:cs="Times New Roman"/>
          <w:sz w:val="24"/>
          <w:szCs w:val="24"/>
          <w:lang w:eastAsia="it-IT"/>
        </w:rPr>
      </w:pPr>
      <w:r w:rsidRPr="00C6172B">
        <w:rPr>
          <w:rFonts w:ascii="Times New Roman" w:eastAsia="Times New Roman" w:hAnsi="Times New Roman" w:cs="Times New Roman"/>
          <w:sz w:val="24"/>
          <w:szCs w:val="24"/>
          <w:lang w:eastAsia="it-IT"/>
        </w:rPr>
        <w:t>L'Agenzia nazionale per i servizi sanitari regionali ha avviato da tempo, in collaborazione con l'ISS, la FISM e le Società Scientifiche di volta in volta interessate, un programma finalizzato alla elaborazione di importanti linee guida ed alla produzione di documentazione metodologica relativa alla loro implementazione.</w:t>
      </w:r>
      <w:r w:rsidRPr="00C6172B">
        <w:rPr>
          <w:rFonts w:ascii="Times New Roman" w:eastAsia="Times New Roman" w:hAnsi="Times New Roman" w:cs="Times New Roman"/>
          <w:sz w:val="24"/>
          <w:szCs w:val="24"/>
          <w:lang w:eastAsia="it-IT"/>
        </w:rPr>
        <w:br/>
        <w:t>I compiti dell'Agenzia sono stati stabiliti con provvedimenti normativi succedutisi nel tempo e i recenti indirizzi della Conferenza Unificata (20 settembre 2007) prevedono, tra l’altro, il “s</w:t>
      </w:r>
      <w:r w:rsidRPr="00C6172B">
        <w:rPr>
          <w:rFonts w:ascii="Times New Roman" w:eastAsia="Times New Roman" w:hAnsi="Times New Roman" w:cs="Times New Roman"/>
          <w:i/>
          <w:iCs/>
          <w:sz w:val="24"/>
          <w:szCs w:val="24"/>
          <w:lang w:eastAsia="it-IT"/>
        </w:rPr>
        <w:t>upporto alle Regioni per lo studio e l'elaborazione di linee guida in materia diagnostica, terapeutica ed organizzativa, tali da garantire agli enti locali e tramite loro, ai cittadini, coerenza fra livelli essenziali previsti ed effettiva accessibilità</w:t>
      </w:r>
      <w:r w:rsidRPr="00C6172B">
        <w:rPr>
          <w:rFonts w:ascii="Times New Roman" w:eastAsia="Times New Roman" w:hAnsi="Times New Roman" w:cs="Times New Roman"/>
          <w:sz w:val="24"/>
          <w:szCs w:val="24"/>
          <w:lang w:eastAsia="it-IT"/>
        </w:rPr>
        <w:t xml:space="preserve"> “.</w:t>
      </w:r>
    </w:p>
    <w:p w:rsidR="00AD6440" w:rsidRDefault="00AD6440" w:rsidP="00AD6440">
      <w:pPr>
        <w:pStyle w:val="testi"/>
      </w:pPr>
    </w:p>
    <w:p w:rsidR="00AD6440" w:rsidRDefault="00AD6440" w:rsidP="00AD6440">
      <w:pPr>
        <w:pStyle w:val="titoli"/>
      </w:pPr>
      <w:r>
        <w:t xml:space="preserve">La produzione di </w:t>
      </w:r>
      <w:proofErr w:type="spellStart"/>
      <w:r>
        <w:t>lineeguida</w:t>
      </w:r>
      <w:proofErr w:type="spellEnd"/>
      <w:r>
        <w:t>, assieme alla definizione dei livelli essenziali di assistenza e all'accreditamento istituzionale, rappresenta uno degli strumenti per il miglioramento della qualità dell'assistenza sanitaria.</w:t>
      </w:r>
    </w:p>
    <w:p w:rsidR="00AD6440" w:rsidRDefault="00AD6440" w:rsidP="00AD6440">
      <w:pPr>
        <w:pStyle w:val="testi"/>
      </w:pPr>
      <w:r>
        <w:t xml:space="preserve">L'Agenzia nazionale per i Servizi Sanitari Regionali (ASSR) svolge </w:t>
      </w:r>
      <w:r>
        <w:rPr>
          <w:b/>
          <w:bCs/>
          <w:i/>
          <w:iCs/>
        </w:rPr>
        <w:t>attività di supporto</w:t>
      </w:r>
      <w:r>
        <w:t xml:space="preserve"> alle Regioni e il Ministero della salute, per i rispettivi ambiti di competenza, </w:t>
      </w:r>
      <w:r>
        <w:rPr>
          <w:b/>
          <w:bCs/>
          <w:i/>
          <w:iCs/>
        </w:rPr>
        <w:t>per lo studio e l'elaborazione di linee guida in materia diagnostica, terapeutica ed organizzativa</w:t>
      </w:r>
      <w:r>
        <w:t>", in attuazione degli indirizzi della Conferenza Unificata del 19 giugno 2003 e del DM 30 giugno 2004.</w:t>
      </w:r>
    </w:p>
    <w:p w:rsidR="00AD6440" w:rsidRDefault="00AD6440" w:rsidP="00AD6440">
      <w:pPr>
        <w:pStyle w:val="testi"/>
      </w:pPr>
      <w:r>
        <w:t xml:space="preserve">A tal fine l'Agenzia ha avviato, in collaborazione con le Regioni, l'Istituto Superiore di Sanità (ISS), la Federazione Italiana delle Società </w:t>
      </w:r>
      <w:proofErr w:type="spellStart"/>
      <w:r>
        <w:t>Medico-scientifiche</w:t>
      </w:r>
      <w:proofErr w:type="spellEnd"/>
      <w:r>
        <w:t xml:space="preserve"> (FISM) e le Società Scientifiche di volta in volta interessate, un programma finalizzato alla elaborazione di importanti linee guida ed alla produzione di documentazione metodologica relativa alla loro implementazione.</w:t>
      </w:r>
    </w:p>
    <w:p w:rsidR="00AD6440" w:rsidRDefault="00AD6440" w:rsidP="00AD6440">
      <w:pPr>
        <w:pStyle w:val="testi"/>
      </w:pPr>
      <w:r>
        <w:t>Come evidenzia il Piano sanitario nazionale 2006-2008, approvato con D.P.R. 7 luglio 2006:</w:t>
      </w:r>
      <w:r>
        <w:br/>
      </w:r>
      <w:r>
        <w:br/>
      </w:r>
      <w:r>
        <w:rPr>
          <w:rStyle w:val="testiitalico"/>
        </w:rPr>
        <w:t xml:space="preserve">"La necessità di istituire il Sistema nazionale linee guida (SNLG) è nata dalla consapevolezza sempre più presente della necessità di erogare cure di buona qualità ed </w:t>
      </w:r>
      <w:proofErr w:type="spellStart"/>
      <w:r>
        <w:rPr>
          <w:rStyle w:val="testiitalico"/>
        </w:rPr>
        <w:t>evidence</w:t>
      </w:r>
      <w:proofErr w:type="spellEnd"/>
      <w:r>
        <w:rPr>
          <w:rStyle w:val="testiitalico"/>
        </w:rPr>
        <w:t xml:space="preserve"> </w:t>
      </w:r>
      <w:proofErr w:type="spellStart"/>
      <w:r>
        <w:rPr>
          <w:rStyle w:val="testiitalico"/>
        </w:rPr>
        <w:t>based</w:t>
      </w:r>
      <w:proofErr w:type="spellEnd"/>
      <w:r>
        <w:rPr>
          <w:rStyle w:val="testiitalico"/>
        </w:rPr>
        <w:t xml:space="preserve"> in un contesto di risorse limitato. </w:t>
      </w:r>
      <w:r>
        <w:br/>
      </w:r>
      <w:r>
        <w:rPr>
          <w:rStyle w:val="testiitalico"/>
        </w:rPr>
        <w:t xml:space="preserve">In questo contesto assumono particolare rilevanza le Linee Guida (LG), i Protocolli Diagnostico Terapeutici ed i Percorsi di Cura, strumenti che, nel loro insieme, rappresentano l'elaborazione sistematica di indicazioni basate sulle evidenze disponibili, secondo standard raccomandati, nel rispetto del principio di appropriatezza, con l'obiettivo di assistere i clinici ed i pazienti nel prendere decisioni, migliorare la qualità delle cure. sanitarie e ridurre la variabilità nella pratica clinica e negli </w:t>
      </w:r>
      <w:proofErr w:type="spellStart"/>
      <w:r>
        <w:rPr>
          <w:rStyle w:val="testiitalico"/>
        </w:rPr>
        <w:t>outcomes</w:t>
      </w:r>
      <w:proofErr w:type="spellEnd"/>
      <w:r>
        <w:rPr>
          <w:rStyle w:val="testiitalico"/>
        </w:rPr>
        <w:t>.".</w:t>
      </w:r>
    </w:p>
    <w:p w:rsidR="00AD6440" w:rsidRDefault="00AD6440" w:rsidP="00AD6440">
      <w:pPr>
        <w:pStyle w:val="testi"/>
      </w:pPr>
      <w:r>
        <w:t>Inoltre</w:t>
      </w:r>
      <w:r>
        <w:rPr>
          <w:i/>
          <w:iCs/>
        </w:rPr>
        <w:t xml:space="preserve"> </w:t>
      </w:r>
      <w:r>
        <w:rPr>
          <w:rStyle w:val="testiitalico"/>
        </w:rPr>
        <w:t xml:space="preserve">"Il SNLG definisce priorità condivise privilegiando le tematiche associate in primo luogo a variabilità nella pratica clinica, liste d'attesa significative, appropriatezza diagnostico-terapeutica, obiettivi individuati dal Piano sanitario nazionale.". </w:t>
      </w:r>
    </w:p>
    <w:p w:rsidR="00AD6440" w:rsidRDefault="00AD6440" w:rsidP="00AD6440">
      <w:pPr>
        <w:pStyle w:val="testi"/>
      </w:pPr>
      <w:r>
        <w:rPr>
          <w:rStyle w:val="testi1"/>
        </w:rPr>
        <w:t>Le linee guida sono state pubblicate e diffuse dall'ASSR, tramite l'invio ad un ampio indirizzario che varia a seconda della tipologia delle linee guida e che comprende: il Ministro della salute e le Direzioni competenti, gli assessorati regionali alla sanità, le aziende sanitarie locali, le aziende ospedaliere e i presidi ospedalieri, gli Istituti di ricovero e cura a carattere scientifico, i policlinici universitari, le società scientifiche, esperti ed altri. In molti casi le linee guida sono state anche presentate in seminari ed incontri pubblici.</w:t>
      </w:r>
    </w:p>
    <w:p w:rsidR="00AD6440" w:rsidRDefault="00AD6440" w:rsidP="00AD6440">
      <w:pPr>
        <w:pStyle w:val="testi"/>
      </w:pPr>
    </w:p>
    <w:p w:rsidR="00C6172B" w:rsidRPr="00C6172B" w:rsidRDefault="00C6172B" w:rsidP="00C6172B">
      <w:pPr>
        <w:spacing w:before="100" w:beforeAutospacing="1" w:after="100" w:afterAutospacing="1" w:line="240" w:lineRule="auto"/>
        <w:outlineLvl w:val="1"/>
        <w:rPr>
          <w:rFonts w:ascii="Times New Roman" w:eastAsia="Times New Roman" w:hAnsi="Times New Roman" w:cs="Times New Roman"/>
          <w:b/>
          <w:bCs/>
          <w:sz w:val="36"/>
          <w:szCs w:val="36"/>
          <w:lang w:eastAsia="it-IT"/>
        </w:rPr>
      </w:pPr>
      <w:r w:rsidRPr="00C6172B">
        <w:rPr>
          <w:rFonts w:ascii="Times New Roman" w:eastAsia="Times New Roman" w:hAnsi="Times New Roman" w:cs="Times New Roman"/>
          <w:b/>
          <w:bCs/>
          <w:sz w:val="36"/>
          <w:szCs w:val="36"/>
          <w:lang w:eastAsia="it-IT"/>
        </w:rPr>
        <w:t xml:space="preserve">Le </w:t>
      </w:r>
      <w:proofErr w:type="spellStart"/>
      <w:r w:rsidRPr="00C6172B">
        <w:rPr>
          <w:rFonts w:ascii="Times New Roman" w:eastAsia="Times New Roman" w:hAnsi="Times New Roman" w:cs="Times New Roman"/>
          <w:b/>
          <w:bCs/>
          <w:sz w:val="36"/>
          <w:szCs w:val="36"/>
          <w:lang w:eastAsia="it-IT"/>
        </w:rPr>
        <w:t>Lineeguida</w:t>
      </w:r>
      <w:proofErr w:type="spellEnd"/>
    </w:p>
    <w:p w:rsidR="00C6172B" w:rsidRPr="00C6172B" w:rsidRDefault="00C6172B" w:rsidP="00C6172B">
      <w:pPr>
        <w:spacing w:before="100" w:beforeAutospacing="1" w:after="100" w:afterAutospacing="1" w:line="240" w:lineRule="auto"/>
        <w:rPr>
          <w:rFonts w:ascii="Times New Roman" w:eastAsia="Times New Roman" w:hAnsi="Times New Roman" w:cs="Times New Roman"/>
          <w:sz w:val="24"/>
          <w:szCs w:val="24"/>
          <w:lang w:eastAsia="it-IT"/>
        </w:rPr>
      </w:pPr>
      <w:r w:rsidRPr="00C6172B">
        <w:rPr>
          <w:rFonts w:ascii="Times New Roman" w:eastAsia="Times New Roman" w:hAnsi="Times New Roman" w:cs="Times New Roman"/>
          <w:sz w:val="24"/>
          <w:szCs w:val="24"/>
          <w:lang w:eastAsia="it-IT"/>
        </w:rPr>
        <w:t xml:space="preserve">"Le </w:t>
      </w:r>
      <w:proofErr w:type="spellStart"/>
      <w:r w:rsidRPr="00C6172B">
        <w:rPr>
          <w:rFonts w:ascii="Times New Roman" w:eastAsia="Times New Roman" w:hAnsi="Times New Roman" w:cs="Times New Roman"/>
          <w:sz w:val="24"/>
          <w:szCs w:val="24"/>
          <w:lang w:eastAsia="it-IT"/>
        </w:rPr>
        <w:t>lineeguida</w:t>
      </w:r>
      <w:proofErr w:type="spellEnd"/>
      <w:r w:rsidRPr="00C6172B">
        <w:rPr>
          <w:rFonts w:ascii="Times New Roman" w:eastAsia="Times New Roman" w:hAnsi="Times New Roman" w:cs="Times New Roman"/>
          <w:sz w:val="24"/>
          <w:szCs w:val="24"/>
          <w:lang w:eastAsia="it-IT"/>
        </w:rPr>
        <w:t xml:space="preserve"> sono raccomandazioni di comportamento clinico, elaborate mediante un processo di revisione sistematica della letteratura e dell’opinione di esperti con lo scopo di aiutare i medici ed i pazienti a decidere le modalità assistenziali più appropriate in specifiche situazioni cliniche."</w:t>
      </w:r>
      <w:r w:rsidRPr="00C6172B">
        <w:rPr>
          <w:rFonts w:ascii="Times New Roman" w:eastAsia="Times New Roman" w:hAnsi="Times New Roman" w:cs="Times New Roman"/>
          <w:sz w:val="24"/>
          <w:szCs w:val="24"/>
          <w:lang w:eastAsia="it-IT"/>
        </w:rPr>
        <w:br/>
        <w:t xml:space="preserve">(definizione del National </w:t>
      </w:r>
      <w:proofErr w:type="spellStart"/>
      <w:r w:rsidRPr="00C6172B">
        <w:rPr>
          <w:rFonts w:ascii="Times New Roman" w:eastAsia="Times New Roman" w:hAnsi="Times New Roman" w:cs="Times New Roman"/>
          <w:sz w:val="24"/>
          <w:szCs w:val="24"/>
          <w:lang w:eastAsia="it-IT"/>
        </w:rPr>
        <w:t>Institute</w:t>
      </w:r>
      <w:proofErr w:type="spellEnd"/>
      <w:r w:rsidRPr="00C6172B">
        <w:rPr>
          <w:rFonts w:ascii="Times New Roman" w:eastAsia="Times New Roman" w:hAnsi="Times New Roman" w:cs="Times New Roman"/>
          <w:sz w:val="24"/>
          <w:szCs w:val="24"/>
          <w:lang w:eastAsia="it-IT"/>
        </w:rPr>
        <w:t xml:space="preserve"> </w:t>
      </w:r>
      <w:proofErr w:type="spellStart"/>
      <w:r w:rsidRPr="00C6172B">
        <w:rPr>
          <w:rFonts w:ascii="Times New Roman" w:eastAsia="Times New Roman" w:hAnsi="Times New Roman" w:cs="Times New Roman"/>
          <w:sz w:val="24"/>
          <w:szCs w:val="24"/>
          <w:lang w:eastAsia="it-IT"/>
        </w:rPr>
        <w:t>of</w:t>
      </w:r>
      <w:proofErr w:type="spellEnd"/>
      <w:r w:rsidRPr="00C6172B">
        <w:rPr>
          <w:rFonts w:ascii="Times New Roman" w:eastAsia="Times New Roman" w:hAnsi="Times New Roman" w:cs="Times New Roman"/>
          <w:sz w:val="24"/>
          <w:szCs w:val="24"/>
          <w:lang w:eastAsia="it-IT"/>
        </w:rPr>
        <w:t xml:space="preserve"> Medicine)</w:t>
      </w:r>
    </w:p>
    <w:p w:rsidR="00C6172B" w:rsidRPr="00C6172B" w:rsidRDefault="00C6172B" w:rsidP="00C6172B">
      <w:pPr>
        <w:spacing w:before="100" w:beforeAutospacing="1" w:after="100" w:afterAutospacing="1" w:line="240" w:lineRule="auto"/>
        <w:rPr>
          <w:rFonts w:ascii="Times New Roman" w:eastAsia="Times New Roman" w:hAnsi="Times New Roman" w:cs="Times New Roman"/>
          <w:sz w:val="24"/>
          <w:szCs w:val="24"/>
          <w:lang w:eastAsia="it-IT"/>
        </w:rPr>
      </w:pPr>
      <w:r w:rsidRPr="00C6172B">
        <w:rPr>
          <w:rFonts w:ascii="Times New Roman" w:eastAsia="Times New Roman" w:hAnsi="Times New Roman" w:cs="Times New Roman"/>
          <w:b/>
          <w:bCs/>
          <w:sz w:val="24"/>
          <w:szCs w:val="24"/>
          <w:lang w:eastAsia="it-IT"/>
        </w:rPr>
        <w:t xml:space="preserve">Le </w:t>
      </w:r>
      <w:proofErr w:type="spellStart"/>
      <w:r w:rsidRPr="00C6172B">
        <w:rPr>
          <w:rFonts w:ascii="Times New Roman" w:eastAsia="Times New Roman" w:hAnsi="Times New Roman" w:cs="Times New Roman"/>
          <w:b/>
          <w:bCs/>
          <w:sz w:val="24"/>
          <w:szCs w:val="24"/>
          <w:lang w:eastAsia="it-IT"/>
        </w:rPr>
        <w:t>lineeguida</w:t>
      </w:r>
      <w:proofErr w:type="spellEnd"/>
      <w:r w:rsidRPr="00C6172B">
        <w:rPr>
          <w:rFonts w:ascii="Times New Roman" w:eastAsia="Times New Roman" w:hAnsi="Times New Roman" w:cs="Times New Roman"/>
          <w:b/>
          <w:bCs/>
          <w:sz w:val="24"/>
          <w:szCs w:val="24"/>
          <w:lang w:eastAsia="it-IT"/>
        </w:rPr>
        <w:t xml:space="preserve"> vengono pertanto promosse e utilizzate:</w:t>
      </w:r>
    </w:p>
    <w:p w:rsidR="00C6172B" w:rsidRPr="00C6172B" w:rsidRDefault="00C6172B" w:rsidP="00C6172B">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C6172B">
        <w:rPr>
          <w:rFonts w:ascii="Times New Roman" w:eastAsia="Times New Roman" w:hAnsi="Times New Roman" w:cs="Times New Roman"/>
          <w:sz w:val="24"/>
          <w:szCs w:val="24"/>
          <w:lang w:eastAsia="it-IT"/>
        </w:rPr>
        <w:t>come mezzo di miglioramento della qualità dell’assistenza</w:t>
      </w:r>
    </w:p>
    <w:p w:rsidR="00C6172B" w:rsidRPr="00C6172B" w:rsidRDefault="00C6172B" w:rsidP="00C6172B">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C6172B">
        <w:rPr>
          <w:rFonts w:ascii="Times New Roman" w:eastAsia="Times New Roman" w:hAnsi="Times New Roman" w:cs="Times New Roman"/>
          <w:sz w:val="24"/>
          <w:szCs w:val="24"/>
          <w:lang w:eastAsia="it-IT"/>
        </w:rPr>
        <w:t>come mezzo per ottimizzare l’esito degli interventi sui pazienti</w:t>
      </w:r>
    </w:p>
    <w:p w:rsidR="00C6172B" w:rsidRPr="00C6172B" w:rsidRDefault="00C6172B" w:rsidP="00C6172B">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C6172B">
        <w:rPr>
          <w:rFonts w:ascii="Times New Roman" w:eastAsia="Times New Roman" w:hAnsi="Times New Roman" w:cs="Times New Roman"/>
          <w:sz w:val="24"/>
          <w:szCs w:val="24"/>
          <w:lang w:eastAsia="it-IT"/>
        </w:rPr>
        <w:t>per scoraggiare l’uso di interventi inefficaci o pericolosi</w:t>
      </w:r>
    </w:p>
    <w:p w:rsidR="00C6172B" w:rsidRPr="00C6172B" w:rsidRDefault="00C6172B" w:rsidP="00C6172B">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C6172B">
        <w:rPr>
          <w:rFonts w:ascii="Times New Roman" w:eastAsia="Times New Roman" w:hAnsi="Times New Roman" w:cs="Times New Roman"/>
          <w:sz w:val="24"/>
          <w:szCs w:val="24"/>
          <w:lang w:eastAsia="it-IT"/>
        </w:rPr>
        <w:t>per migliorare e garantire l’adeguatezza delle cure</w:t>
      </w:r>
    </w:p>
    <w:p w:rsidR="00C6172B" w:rsidRPr="00C6172B" w:rsidRDefault="00C6172B" w:rsidP="00C6172B">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C6172B">
        <w:rPr>
          <w:rFonts w:ascii="Times New Roman" w:eastAsia="Times New Roman" w:hAnsi="Times New Roman" w:cs="Times New Roman"/>
          <w:sz w:val="24"/>
          <w:szCs w:val="24"/>
          <w:lang w:eastAsia="it-IT"/>
        </w:rPr>
        <w:t>per identificare zone della pratica clinica in cui vi è insufficienza di prove</w:t>
      </w:r>
    </w:p>
    <w:p w:rsidR="00C6172B" w:rsidRPr="00C6172B" w:rsidRDefault="00C6172B" w:rsidP="00C6172B">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C6172B">
        <w:rPr>
          <w:rFonts w:ascii="Times New Roman" w:eastAsia="Times New Roman" w:hAnsi="Times New Roman" w:cs="Times New Roman"/>
          <w:sz w:val="24"/>
          <w:szCs w:val="24"/>
          <w:lang w:eastAsia="it-IT"/>
        </w:rPr>
        <w:t>per aiutare a bilanciare costi e risultati</w:t>
      </w:r>
    </w:p>
    <w:p w:rsidR="008B2481" w:rsidRDefault="008B2481"/>
    <w:p w:rsidR="00C6172B" w:rsidRPr="00C6172B" w:rsidRDefault="00C6172B" w:rsidP="00C6172B">
      <w:pPr>
        <w:spacing w:before="100" w:beforeAutospacing="1" w:after="100" w:afterAutospacing="1" w:line="240" w:lineRule="auto"/>
        <w:outlineLvl w:val="1"/>
        <w:rPr>
          <w:rFonts w:ascii="Times New Roman" w:eastAsia="Times New Roman" w:hAnsi="Times New Roman" w:cs="Times New Roman"/>
          <w:b/>
          <w:bCs/>
          <w:sz w:val="36"/>
          <w:szCs w:val="36"/>
          <w:lang w:eastAsia="it-IT"/>
        </w:rPr>
      </w:pPr>
      <w:r w:rsidRPr="00C6172B">
        <w:rPr>
          <w:rFonts w:ascii="Times New Roman" w:eastAsia="Times New Roman" w:hAnsi="Times New Roman" w:cs="Times New Roman"/>
          <w:b/>
          <w:bCs/>
          <w:sz w:val="36"/>
          <w:szCs w:val="36"/>
          <w:lang w:eastAsia="it-IT"/>
        </w:rPr>
        <w:t>I Mattoni del SSN</w:t>
      </w:r>
    </w:p>
    <w:p w:rsidR="00C6172B" w:rsidRPr="00C6172B" w:rsidRDefault="00C6172B" w:rsidP="00C6172B">
      <w:pPr>
        <w:spacing w:before="100" w:beforeAutospacing="1" w:after="100" w:afterAutospacing="1" w:line="240" w:lineRule="auto"/>
        <w:rPr>
          <w:rFonts w:ascii="Times New Roman" w:eastAsia="Times New Roman" w:hAnsi="Times New Roman" w:cs="Times New Roman"/>
          <w:sz w:val="24"/>
          <w:szCs w:val="24"/>
          <w:lang w:eastAsia="it-IT"/>
        </w:rPr>
      </w:pPr>
      <w:r w:rsidRPr="00C6172B">
        <w:rPr>
          <w:rFonts w:ascii="Times New Roman" w:eastAsia="Times New Roman" w:hAnsi="Times New Roman" w:cs="Times New Roman"/>
          <w:sz w:val="24"/>
          <w:szCs w:val="24"/>
          <w:lang w:eastAsia="it-IT"/>
        </w:rPr>
        <w:t>Uno degli strumenti fondamentali per il governo del Sistema Sanitario Nazionale è il Sistema Informativo Sanitario (SIS) che recentemente la Conferenza Stato-Regioni ha deciso di riprogettare affinché sia in grado di rispondere adeguatamente alle nuove esigenze. In questo contesto, il 10 dicembre 2003 la Conferenza ha ritenuto necessaria la revisione dell’impianto classificatorio e di misura dei fenomeni (in termini di strutture, eventi, prestazioni, costi, ecc.) che prevede la costruzione di un “linguaggio comune” attraverso 15 linee progettuali. Questo progetto è stato chiamato Progetto Mattoni ed è stato realizzato con la partecipazione di tutte le Regioni oltre al Ministero della Salute, dell’Economia e di numerose altre istituzioni con una metodologia basata sulla condivisione dei risultati. Nell’ autunno 2007 sono stati consegnati i prodotti di tutti i Progetti i cui contenuti stanno alimentando la progettazione del Nuovo Sistema Informativo Sanitario (NSIS) che ha una successiva ricaduta normativa che ne determina la applicazione.</w:t>
      </w:r>
    </w:p>
    <w:p w:rsidR="00C6172B" w:rsidRPr="00C6172B" w:rsidRDefault="00C6172B" w:rsidP="00C6172B">
      <w:pPr>
        <w:spacing w:before="100" w:beforeAutospacing="1" w:after="100" w:afterAutospacing="1" w:line="240" w:lineRule="auto"/>
        <w:rPr>
          <w:rFonts w:ascii="Times New Roman" w:eastAsia="Times New Roman" w:hAnsi="Times New Roman" w:cs="Times New Roman"/>
          <w:sz w:val="24"/>
          <w:szCs w:val="24"/>
          <w:lang w:eastAsia="it-IT"/>
        </w:rPr>
      </w:pPr>
      <w:r w:rsidRPr="00C6172B">
        <w:rPr>
          <w:rFonts w:ascii="Times New Roman" w:eastAsia="Times New Roman" w:hAnsi="Times New Roman" w:cs="Times New Roman"/>
          <w:b/>
          <w:bCs/>
          <w:color w:val="3366CC"/>
          <w:sz w:val="24"/>
          <w:szCs w:val="24"/>
          <w:lang w:eastAsia="it-IT"/>
        </w:rPr>
        <w:t>Completamento del Progetto Mattoni</w:t>
      </w:r>
      <w:r w:rsidRPr="00C6172B">
        <w:rPr>
          <w:rFonts w:ascii="Times New Roman" w:eastAsia="Times New Roman" w:hAnsi="Times New Roman" w:cs="Times New Roman"/>
          <w:sz w:val="24"/>
          <w:szCs w:val="24"/>
          <w:lang w:eastAsia="it-IT"/>
        </w:rPr>
        <w:t xml:space="preserve"> </w:t>
      </w:r>
    </w:p>
    <w:p w:rsidR="00C6172B" w:rsidRPr="00C6172B" w:rsidRDefault="00C6172B" w:rsidP="00C6172B">
      <w:pPr>
        <w:spacing w:before="100" w:beforeAutospacing="1" w:after="100" w:afterAutospacing="1" w:line="240" w:lineRule="auto"/>
        <w:rPr>
          <w:rFonts w:ascii="Times New Roman" w:eastAsia="Times New Roman" w:hAnsi="Times New Roman" w:cs="Times New Roman"/>
          <w:sz w:val="24"/>
          <w:szCs w:val="24"/>
          <w:lang w:eastAsia="it-IT"/>
        </w:rPr>
      </w:pPr>
      <w:r w:rsidRPr="00C6172B">
        <w:rPr>
          <w:rFonts w:ascii="Times New Roman" w:eastAsia="Times New Roman" w:hAnsi="Times New Roman" w:cs="Times New Roman"/>
          <w:sz w:val="24"/>
          <w:szCs w:val="24"/>
          <w:lang w:eastAsia="it-IT"/>
        </w:rPr>
        <w:t>Alla conclusione del Progetto Mattoni, il Ministero e le Regioni hanno concordato sull’opportunità di un completamento del Programma avendo individuato nuove attività di analisi, sviluppo e ricerca non previste nella fase di stesura del Progetto ma emerse dai risultati delle attività.</w:t>
      </w:r>
      <w:r w:rsidRPr="00C6172B">
        <w:rPr>
          <w:rFonts w:ascii="Times New Roman" w:eastAsia="Times New Roman" w:hAnsi="Times New Roman" w:cs="Times New Roman"/>
          <w:sz w:val="24"/>
          <w:szCs w:val="24"/>
          <w:lang w:eastAsia="it-IT"/>
        </w:rPr>
        <w:br/>
        <w:t>L’Agenzia nazionale per i servizi sanitari regionali ha avuto la funzione di coordinamento e di facilitazione del Progetto. In particolare, la funzione dell’Agenzia riguarderà:</w:t>
      </w:r>
    </w:p>
    <w:p w:rsidR="00C6172B" w:rsidRPr="00C6172B" w:rsidRDefault="00C6172B" w:rsidP="00C6172B">
      <w:pPr>
        <w:numPr>
          <w:ilvl w:val="0"/>
          <w:numId w:val="2"/>
        </w:numPr>
        <w:spacing w:before="100" w:beforeAutospacing="1" w:after="100" w:afterAutospacing="1" w:line="240" w:lineRule="auto"/>
        <w:rPr>
          <w:rFonts w:ascii="Times New Roman" w:eastAsia="Times New Roman" w:hAnsi="Times New Roman" w:cs="Times New Roman"/>
          <w:sz w:val="24"/>
          <w:szCs w:val="24"/>
          <w:lang w:eastAsia="it-IT"/>
        </w:rPr>
      </w:pPr>
      <w:r w:rsidRPr="00C6172B">
        <w:rPr>
          <w:rFonts w:ascii="Times New Roman" w:eastAsia="Times New Roman" w:hAnsi="Times New Roman" w:cs="Times New Roman"/>
          <w:sz w:val="24"/>
          <w:szCs w:val="24"/>
          <w:lang w:eastAsia="it-IT"/>
        </w:rPr>
        <w:t xml:space="preserve">il supporto all’implementazione e il monitoraggio delle attività svolte dalle Regioni nell’applicazione dei prodotti normativi già recepiti e di quelli che lo saranno in futuro; </w:t>
      </w:r>
    </w:p>
    <w:p w:rsidR="00C6172B" w:rsidRPr="00C6172B" w:rsidRDefault="00C6172B" w:rsidP="00C6172B">
      <w:pPr>
        <w:numPr>
          <w:ilvl w:val="0"/>
          <w:numId w:val="2"/>
        </w:numPr>
        <w:spacing w:before="100" w:beforeAutospacing="1" w:after="100" w:afterAutospacing="1" w:line="240" w:lineRule="auto"/>
        <w:rPr>
          <w:rFonts w:ascii="Times New Roman" w:eastAsia="Times New Roman" w:hAnsi="Times New Roman" w:cs="Times New Roman"/>
          <w:sz w:val="24"/>
          <w:szCs w:val="24"/>
          <w:lang w:eastAsia="it-IT"/>
        </w:rPr>
      </w:pPr>
      <w:r w:rsidRPr="00C6172B">
        <w:rPr>
          <w:rFonts w:ascii="Times New Roman" w:eastAsia="Times New Roman" w:hAnsi="Times New Roman" w:cs="Times New Roman"/>
          <w:sz w:val="24"/>
          <w:szCs w:val="24"/>
          <w:lang w:eastAsia="it-IT"/>
        </w:rPr>
        <w:t>la sistematizzazione e la diffusione della conoscenza scaturita da tutti i progetti in modo che diventino patrimonio culturale comune e condiviso;</w:t>
      </w:r>
    </w:p>
    <w:p w:rsidR="00C6172B" w:rsidRPr="00C6172B" w:rsidRDefault="00C6172B" w:rsidP="00C6172B">
      <w:pPr>
        <w:numPr>
          <w:ilvl w:val="0"/>
          <w:numId w:val="2"/>
        </w:numPr>
        <w:spacing w:before="100" w:beforeAutospacing="1" w:after="100" w:afterAutospacing="1" w:line="240" w:lineRule="auto"/>
        <w:rPr>
          <w:rFonts w:ascii="Times New Roman" w:eastAsia="Times New Roman" w:hAnsi="Times New Roman" w:cs="Times New Roman"/>
          <w:sz w:val="24"/>
          <w:szCs w:val="24"/>
          <w:lang w:eastAsia="it-IT"/>
        </w:rPr>
      </w:pPr>
      <w:r w:rsidRPr="00C6172B">
        <w:rPr>
          <w:rFonts w:ascii="Times New Roman" w:eastAsia="Times New Roman" w:hAnsi="Times New Roman" w:cs="Times New Roman"/>
          <w:sz w:val="24"/>
          <w:szCs w:val="24"/>
          <w:lang w:eastAsia="it-IT"/>
        </w:rPr>
        <w:t>il completamento di alcuni aspetti che qualche Progetto non ha avuto la possibilità di approfondire;</w:t>
      </w:r>
    </w:p>
    <w:p w:rsidR="00C6172B" w:rsidRPr="00C6172B" w:rsidRDefault="00C6172B" w:rsidP="00C6172B">
      <w:pPr>
        <w:numPr>
          <w:ilvl w:val="0"/>
          <w:numId w:val="2"/>
        </w:numPr>
        <w:spacing w:before="100" w:beforeAutospacing="1" w:after="100" w:afterAutospacing="1" w:line="240" w:lineRule="auto"/>
        <w:rPr>
          <w:rFonts w:ascii="Times New Roman" w:eastAsia="Times New Roman" w:hAnsi="Times New Roman" w:cs="Times New Roman"/>
          <w:sz w:val="24"/>
          <w:szCs w:val="24"/>
          <w:lang w:eastAsia="it-IT"/>
        </w:rPr>
      </w:pPr>
      <w:r w:rsidRPr="00C6172B">
        <w:rPr>
          <w:rFonts w:ascii="Times New Roman" w:eastAsia="Times New Roman" w:hAnsi="Times New Roman" w:cs="Times New Roman"/>
          <w:sz w:val="24"/>
          <w:szCs w:val="24"/>
          <w:lang w:eastAsia="it-IT"/>
        </w:rPr>
        <w:t xml:space="preserve">l’aggiornamento e la manutenzione  di alcuni prodotti; </w:t>
      </w:r>
    </w:p>
    <w:p w:rsidR="00C6172B" w:rsidRPr="00C6172B" w:rsidRDefault="00C6172B" w:rsidP="00C6172B">
      <w:pPr>
        <w:numPr>
          <w:ilvl w:val="0"/>
          <w:numId w:val="2"/>
        </w:numPr>
        <w:spacing w:before="100" w:beforeAutospacing="1" w:after="100" w:afterAutospacing="1" w:line="240" w:lineRule="auto"/>
        <w:rPr>
          <w:rFonts w:ascii="Times New Roman" w:eastAsia="Times New Roman" w:hAnsi="Times New Roman" w:cs="Times New Roman"/>
          <w:sz w:val="24"/>
          <w:szCs w:val="24"/>
          <w:lang w:eastAsia="it-IT"/>
        </w:rPr>
      </w:pPr>
      <w:r w:rsidRPr="00C6172B">
        <w:rPr>
          <w:rFonts w:ascii="Times New Roman" w:eastAsia="Times New Roman" w:hAnsi="Times New Roman" w:cs="Times New Roman"/>
          <w:sz w:val="24"/>
          <w:szCs w:val="24"/>
          <w:lang w:eastAsia="it-IT"/>
        </w:rPr>
        <w:lastRenderedPageBreak/>
        <w:t xml:space="preserve">la partecipazione alla realizzazione dei progetti di fattibilità del NSIS di alcuni Mattoni con la Direzione dei Sistemi Informativi; </w:t>
      </w:r>
    </w:p>
    <w:p w:rsidR="00C6172B" w:rsidRPr="00C6172B" w:rsidRDefault="00C6172B" w:rsidP="00C6172B">
      <w:pPr>
        <w:spacing w:after="0" w:line="240" w:lineRule="auto"/>
        <w:rPr>
          <w:rFonts w:ascii="Times New Roman" w:eastAsia="Times New Roman" w:hAnsi="Times New Roman" w:cs="Times New Roman"/>
          <w:sz w:val="24"/>
          <w:szCs w:val="24"/>
          <w:lang w:eastAsia="it-IT"/>
        </w:rPr>
      </w:pPr>
      <w:r w:rsidRPr="00C6172B">
        <w:rPr>
          <w:rFonts w:ascii="Times New Roman" w:eastAsia="Times New Roman" w:hAnsi="Times New Roman" w:cs="Times New Roman"/>
          <w:sz w:val="24"/>
          <w:szCs w:val="24"/>
          <w:lang w:eastAsia="it-IT"/>
        </w:rPr>
        <w:t xml:space="preserve">L’Agenzia garantirà inoltre che tutti i prodotti ed i risultati dei Mattoni vengano utilizzati nella pratica e non rimangano progetti teorici. </w:t>
      </w:r>
    </w:p>
    <w:p w:rsidR="00C6172B" w:rsidRDefault="00C6172B"/>
    <w:p w:rsidR="00C6172B" w:rsidRDefault="00C6172B"/>
    <w:p w:rsidR="00C6172B" w:rsidRDefault="00C6172B"/>
    <w:sectPr w:rsidR="00C6172B" w:rsidSect="008B248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854E1F"/>
    <w:multiLevelType w:val="multilevel"/>
    <w:tmpl w:val="E52A1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A0C0D28"/>
    <w:multiLevelType w:val="multilevel"/>
    <w:tmpl w:val="D9FE8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AD6440"/>
    <w:rsid w:val="004415AB"/>
    <w:rsid w:val="008B2481"/>
    <w:rsid w:val="00AD6440"/>
    <w:rsid w:val="00C6172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B2481"/>
  </w:style>
  <w:style w:type="paragraph" w:styleId="Titolo2">
    <w:name w:val="heading 2"/>
    <w:basedOn w:val="Normale"/>
    <w:link w:val="Titolo2Carattere"/>
    <w:uiPriority w:val="9"/>
    <w:qFormat/>
    <w:rsid w:val="00C6172B"/>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sti">
    <w:name w:val="testi"/>
    <w:basedOn w:val="Normale"/>
    <w:rsid w:val="00AD6440"/>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titoli">
    <w:name w:val="titoli"/>
    <w:basedOn w:val="Normale"/>
    <w:rsid w:val="00AD6440"/>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estiitalico">
    <w:name w:val="testi_italico"/>
    <w:basedOn w:val="Carpredefinitoparagrafo"/>
    <w:rsid w:val="00AD6440"/>
  </w:style>
  <w:style w:type="character" w:customStyle="1" w:styleId="testi1">
    <w:name w:val="testi1"/>
    <w:basedOn w:val="Carpredefinitoparagrafo"/>
    <w:rsid w:val="00AD6440"/>
  </w:style>
  <w:style w:type="character" w:customStyle="1" w:styleId="Titolo2Carattere">
    <w:name w:val="Titolo 2 Carattere"/>
    <w:basedOn w:val="Carpredefinitoparagrafo"/>
    <w:link w:val="Titolo2"/>
    <w:uiPriority w:val="9"/>
    <w:rsid w:val="00C6172B"/>
    <w:rPr>
      <w:rFonts w:ascii="Times New Roman" w:eastAsia="Times New Roman" w:hAnsi="Times New Roman" w:cs="Times New Roman"/>
      <w:b/>
      <w:bCs/>
      <w:sz w:val="36"/>
      <w:szCs w:val="36"/>
      <w:lang w:eastAsia="it-IT"/>
    </w:rPr>
  </w:style>
  <w:style w:type="paragraph" w:styleId="NormaleWeb">
    <w:name w:val="Normal (Web)"/>
    <w:basedOn w:val="Normale"/>
    <w:uiPriority w:val="99"/>
    <w:semiHidden/>
    <w:unhideWhenUsed/>
    <w:rsid w:val="00C6172B"/>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corsivo">
    <w:name w:val="Emphasis"/>
    <w:basedOn w:val="Carpredefinitoparagrafo"/>
    <w:uiPriority w:val="20"/>
    <w:qFormat/>
    <w:rsid w:val="00C6172B"/>
    <w:rPr>
      <w:i/>
      <w:iCs/>
    </w:rPr>
  </w:style>
</w:styles>
</file>

<file path=word/webSettings.xml><?xml version="1.0" encoding="utf-8"?>
<w:webSettings xmlns:r="http://schemas.openxmlformats.org/officeDocument/2006/relationships" xmlns:w="http://schemas.openxmlformats.org/wordprocessingml/2006/main">
  <w:divs>
    <w:div w:id="24605411">
      <w:bodyDiv w:val="1"/>
      <w:marLeft w:val="0"/>
      <w:marRight w:val="0"/>
      <w:marTop w:val="0"/>
      <w:marBottom w:val="0"/>
      <w:divBdr>
        <w:top w:val="none" w:sz="0" w:space="0" w:color="auto"/>
        <w:left w:val="none" w:sz="0" w:space="0" w:color="auto"/>
        <w:bottom w:val="none" w:sz="0" w:space="0" w:color="auto"/>
        <w:right w:val="none" w:sz="0" w:space="0" w:color="auto"/>
      </w:divBdr>
    </w:div>
    <w:div w:id="785926519">
      <w:bodyDiv w:val="1"/>
      <w:marLeft w:val="0"/>
      <w:marRight w:val="0"/>
      <w:marTop w:val="0"/>
      <w:marBottom w:val="0"/>
      <w:divBdr>
        <w:top w:val="none" w:sz="0" w:space="0" w:color="auto"/>
        <w:left w:val="none" w:sz="0" w:space="0" w:color="auto"/>
        <w:bottom w:val="none" w:sz="0" w:space="0" w:color="auto"/>
        <w:right w:val="none" w:sz="0" w:space="0" w:color="auto"/>
      </w:divBdr>
      <w:divsChild>
        <w:div w:id="20672694">
          <w:marLeft w:val="0"/>
          <w:marRight w:val="0"/>
          <w:marTop w:val="0"/>
          <w:marBottom w:val="0"/>
          <w:divBdr>
            <w:top w:val="none" w:sz="0" w:space="0" w:color="auto"/>
            <w:left w:val="none" w:sz="0" w:space="0" w:color="auto"/>
            <w:bottom w:val="none" w:sz="0" w:space="0" w:color="auto"/>
            <w:right w:val="none" w:sz="0" w:space="0" w:color="auto"/>
          </w:divBdr>
        </w:div>
      </w:divsChild>
    </w:div>
    <w:div w:id="1193154985">
      <w:bodyDiv w:val="1"/>
      <w:marLeft w:val="0"/>
      <w:marRight w:val="0"/>
      <w:marTop w:val="0"/>
      <w:marBottom w:val="0"/>
      <w:divBdr>
        <w:top w:val="none" w:sz="0" w:space="0" w:color="auto"/>
        <w:left w:val="none" w:sz="0" w:space="0" w:color="auto"/>
        <w:bottom w:val="none" w:sz="0" w:space="0" w:color="auto"/>
        <w:right w:val="none" w:sz="0" w:space="0" w:color="auto"/>
      </w:divBdr>
      <w:divsChild>
        <w:div w:id="1320991">
          <w:marLeft w:val="0"/>
          <w:marRight w:val="0"/>
          <w:marTop w:val="0"/>
          <w:marBottom w:val="0"/>
          <w:divBdr>
            <w:top w:val="none" w:sz="0" w:space="0" w:color="auto"/>
            <w:left w:val="none" w:sz="0" w:space="0" w:color="auto"/>
            <w:bottom w:val="none" w:sz="0" w:space="0" w:color="auto"/>
            <w:right w:val="none" w:sz="0" w:space="0" w:color="auto"/>
          </w:divBdr>
        </w:div>
      </w:divsChild>
    </w:div>
    <w:div w:id="121827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974</Words>
  <Characters>5556</Characters>
  <Application>Microsoft Office Word</Application>
  <DocSecurity>0</DocSecurity>
  <Lines>46</Lines>
  <Paragraphs>13</Paragraphs>
  <ScaleCrop>false</ScaleCrop>
  <Company> </Company>
  <LinksUpToDate>false</LinksUpToDate>
  <CharactersWithSpaces>6517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Sergio</cp:lastModifiedBy>
  <cp:revision>3</cp:revision>
  <dcterms:created xsi:type="dcterms:W3CDTF">2008-09-16T07:42:00Z</dcterms:created>
  <dcterms:modified xsi:type="dcterms:W3CDTF">2008-09-16T07:52:00Z</dcterms:modified>
</cp:coreProperties>
</file>